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>Настоящее Положение уст</w:t>
      </w:r>
      <w:r w:rsidR="0037353F">
        <w:rPr>
          <w:rFonts w:ascii="Times New Roman" w:hAnsi="Times New Roman" w:cs="Times New Roman"/>
          <w:sz w:val="24"/>
          <w:szCs w:val="24"/>
        </w:rPr>
        <w:t>анавливает правила реализации вМКОУ «Сертильская СОШ»</w:t>
      </w:r>
      <w:r w:rsidR="0037353F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</w:t>
      </w:r>
      <w:r w:rsidR="00CE3422" w:rsidRPr="005D14E7">
        <w:rPr>
          <w:rFonts w:ascii="Times New Roman" w:hAnsi="Times New Roman" w:cs="Times New Roman"/>
          <w:sz w:val="24"/>
          <w:szCs w:val="24"/>
        </w:rPr>
        <w:lastRenderedPageBreak/>
        <w:t>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7353F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13EDF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cp:lastPrinted>2018-09-06T07:35:00Z</cp:lastPrinted>
  <dcterms:created xsi:type="dcterms:W3CDTF">2020-05-28T04:06:00Z</dcterms:created>
  <dcterms:modified xsi:type="dcterms:W3CDTF">2020-05-28T04:06:00Z</dcterms:modified>
</cp:coreProperties>
</file>